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64F2" w:rsidRPr="009864F2" w:rsidRDefault="009864F2" w:rsidP="009864F2">
      <w:pPr>
        <w:shd w:val="clear" w:color="auto" w:fill="FFFFFF"/>
        <w:spacing w:before="48" w:after="120" w:line="240" w:lineRule="atLeast"/>
        <w:outlineLvl w:val="0"/>
        <w:rPr>
          <w:rFonts w:ascii="Alegreya Sans" w:eastAsia="Times New Roman" w:hAnsi="Alegreya Sans" w:cs="Times New Roman"/>
          <w:color w:val="1E484E"/>
          <w:kern w:val="36"/>
          <w:sz w:val="52"/>
          <w:szCs w:val="52"/>
        </w:rPr>
      </w:pPr>
      <w:r w:rsidRPr="009864F2">
        <w:rPr>
          <w:rFonts w:ascii="Alegreya Sans" w:eastAsia="Times New Roman" w:hAnsi="Alegreya Sans" w:cs="Times New Roman"/>
          <w:color w:val="1E484E"/>
          <w:kern w:val="36"/>
          <w:sz w:val="52"/>
          <w:szCs w:val="52"/>
        </w:rPr>
        <w:t>10 Big Ways to Build Word Consciousness</w:t>
      </w:r>
    </w:p>
    <w:p w:rsidR="009864F2" w:rsidRPr="009864F2" w:rsidRDefault="009864F2" w:rsidP="009864F2">
      <w:pPr>
        <w:shd w:val="clear" w:color="auto" w:fill="FFFFFF"/>
        <w:spacing w:after="0" w:line="240" w:lineRule="auto"/>
        <w:rPr>
          <w:rFonts w:ascii="Alegreya Sans" w:eastAsia="Times New Roman" w:hAnsi="Alegreya Sans" w:cs="Times New Roman"/>
          <w:color w:val="333333"/>
          <w:sz w:val="24"/>
          <w:szCs w:val="24"/>
        </w:rPr>
      </w:pPr>
      <w:r w:rsidRPr="009864F2">
        <w:rPr>
          <w:rFonts w:ascii="Alegreya Sans" w:eastAsia="Times New Roman" w:hAnsi="Alegreya Sans" w:cs="Times New Roman"/>
          <w:noProof/>
          <w:color w:val="333333"/>
          <w:sz w:val="24"/>
          <w:szCs w:val="24"/>
        </w:rPr>
        <w:drawing>
          <wp:inline distT="0" distB="0" distL="0" distR="0" wp14:anchorId="27F66B64" wp14:editId="3382B40B">
            <wp:extent cx="2095500" cy="2095500"/>
            <wp:effectExtent l="0" t="0" r="0" b="0"/>
            <wp:docPr id="5" name="Picture 5" descr="10 Big Ways to Build Word Conscious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0 Big Ways to Build Word Consciousnes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95500" cy="2095500"/>
                    </a:xfrm>
                    <a:prstGeom prst="rect">
                      <a:avLst/>
                    </a:prstGeom>
                    <a:noFill/>
                    <a:ln>
                      <a:noFill/>
                    </a:ln>
                  </pic:spPr>
                </pic:pic>
              </a:graphicData>
            </a:graphic>
          </wp:inline>
        </w:drawing>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I looked around the crowded restaurant, feeling suddenly overheated. I had just had a one-sided conversation with a baby about green beans. It was too quiet, so several people heard:</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“Soft, squishy green beans. I love ‘</w:t>
      </w:r>
      <w:proofErr w:type="spellStart"/>
      <w:r w:rsidRPr="009864F2">
        <w:rPr>
          <w:rFonts w:ascii="inherit" w:eastAsia="Times New Roman" w:hAnsi="inherit" w:cs="Times New Roman"/>
          <w:color w:val="333333"/>
          <w:sz w:val="24"/>
          <w:szCs w:val="24"/>
        </w:rPr>
        <w:t>em</w:t>
      </w:r>
      <w:proofErr w:type="spellEnd"/>
      <w:r w:rsidRPr="009864F2">
        <w:rPr>
          <w:rFonts w:ascii="inherit" w:eastAsia="Times New Roman" w:hAnsi="inherit" w:cs="Times New Roman"/>
          <w:color w:val="333333"/>
          <w:sz w:val="24"/>
          <w:szCs w:val="24"/>
        </w:rPr>
        <w:t>. You love ‘</w:t>
      </w:r>
      <w:proofErr w:type="spellStart"/>
      <w:r w:rsidRPr="009864F2">
        <w:rPr>
          <w:rFonts w:ascii="inherit" w:eastAsia="Times New Roman" w:hAnsi="inherit" w:cs="Times New Roman"/>
          <w:color w:val="333333"/>
          <w:sz w:val="24"/>
          <w:szCs w:val="24"/>
        </w:rPr>
        <w:t>em</w:t>
      </w:r>
      <w:proofErr w:type="spellEnd"/>
      <w:r w:rsidRPr="009864F2">
        <w:rPr>
          <w:rFonts w:ascii="inherit" w:eastAsia="Times New Roman" w:hAnsi="inherit" w:cs="Times New Roman"/>
          <w:color w:val="333333"/>
          <w:sz w:val="24"/>
          <w:szCs w:val="24"/>
        </w:rPr>
        <w:t>. We all love yummy green beans!”</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The baby wasn’t mine. He sat in his father’s lap, two tables down, with a green bean in each hand. I watched as the baby tossed one of them to the floor.</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“Why’d you do that?” the father asked, but the baby just grinned.</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It sometimes looks odd to talk to something that doesn’t talk back. But we do—as humans, communicating is a basic need. That’s why we want to tell our cat about our bad day or ask our plant if it’s thirsty. One creature we love to talk to: a baby. It doesn’t even have to be our baby. We're totally fine with a baby not replying when we ask him how he's doing.</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From their very first day on earth, children are learning language from the world around them—even if they aren't talking. That's why the job of being word conscious is so important for families and educators.</w:t>
      </w:r>
    </w:p>
    <w:p w:rsidR="009864F2" w:rsidRPr="009864F2" w:rsidRDefault="009864F2" w:rsidP="009864F2">
      <w:pPr>
        <w:shd w:val="clear" w:color="auto" w:fill="FFFFFF"/>
        <w:spacing w:before="48" w:after="120" w:line="240" w:lineRule="auto"/>
        <w:outlineLvl w:val="3"/>
        <w:rPr>
          <w:rFonts w:ascii="Alegreya Sans" w:eastAsia="Times New Roman" w:hAnsi="Alegreya Sans" w:cs="Times New Roman"/>
          <w:color w:val="1E484E"/>
          <w:sz w:val="35"/>
          <w:szCs w:val="35"/>
        </w:rPr>
      </w:pPr>
      <w:r w:rsidRPr="009864F2">
        <w:rPr>
          <w:rFonts w:ascii="Alegreya Sans" w:eastAsia="Times New Roman" w:hAnsi="Alegreya Sans" w:cs="Times New Roman"/>
          <w:color w:val="1E484E"/>
          <w:sz w:val="35"/>
          <w:szCs w:val="35"/>
        </w:rPr>
        <w:t>The 30 Million Word Gap</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 xml:space="preserve">In 1995, a landmark study by Betty Hart and Todd </w:t>
      </w:r>
      <w:proofErr w:type="spellStart"/>
      <w:r w:rsidRPr="009864F2">
        <w:rPr>
          <w:rFonts w:ascii="inherit" w:eastAsia="Times New Roman" w:hAnsi="inherit" w:cs="Times New Roman"/>
          <w:color w:val="333333"/>
          <w:sz w:val="24"/>
          <w:szCs w:val="24"/>
        </w:rPr>
        <w:t>Risley</w:t>
      </w:r>
      <w:proofErr w:type="spellEnd"/>
      <w:r w:rsidRPr="009864F2">
        <w:rPr>
          <w:rFonts w:ascii="inherit" w:eastAsia="Times New Roman" w:hAnsi="inherit" w:cs="Times New Roman"/>
          <w:color w:val="333333"/>
          <w:sz w:val="24"/>
          <w:szCs w:val="24"/>
        </w:rPr>
        <w:t xml:space="preserve"> discovered the jaw-dropping number of words that 18- to 48-month olds can learn, if given the chance. The study revealed that, in this case, not all children were equal. When the vocabularies of “affluent” preschoolers were measured, a vast and unsettling language gap appeared between them and children with lower socio-economic status—some by as much as 30 million words.</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The study illuminated the importance of directed speech, focused conversations, and time spent on engaging children in language, and emphasized a real need for intentional teaching.</w:t>
      </w:r>
    </w:p>
    <w:p w:rsidR="009864F2" w:rsidRDefault="009864F2" w:rsidP="009864F2">
      <w:pPr>
        <w:shd w:val="clear" w:color="auto" w:fill="FFFFFF"/>
        <w:spacing w:before="48" w:after="120" w:line="240" w:lineRule="auto"/>
        <w:outlineLvl w:val="3"/>
        <w:rPr>
          <w:rFonts w:ascii="Alegreya Sans" w:eastAsia="Times New Roman" w:hAnsi="Alegreya Sans" w:cs="Times New Roman"/>
          <w:color w:val="1E484E"/>
          <w:sz w:val="35"/>
          <w:szCs w:val="35"/>
        </w:rPr>
      </w:pPr>
    </w:p>
    <w:p w:rsidR="009864F2" w:rsidRPr="009864F2" w:rsidRDefault="009864F2" w:rsidP="009864F2">
      <w:pPr>
        <w:shd w:val="clear" w:color="auto" w:fill="FFFFFF"/>
        <w:spacing w:before="48" w:after="120" w:line="240" w:lineRule="auto"/>
        <w:outlineLvl w:val="3"/>
        <w:rPr>
          <w:rFonts w:ascii="Alegreya Sans" w:eastAsia="Times New Roman" w:hAnsi="Alegreya Sans" w:cs="Times New Roman"/>
          <w:color w:val="1E484E"/>
          <w:sz w:val="35"/>
          <w:szCs w:val="35"/>
        </w:rPr>
      </w:pPr>
      <w:r w:rsidRPr="009864F2">
        <w:rPr>
          <w:rFonts w:ascii="Alegreya Sans" w:eastAsia="Times New Roman" w:hAnsi="Alegreya Sans" w:cs="Times New Roman"/>
          <w:color w:val="1E484E"/>
          <w:sz w:val="35"/>
          <w:szCs w:val="35"/>
        </w:rPr>
        <w:lastRenderedPageBreak/>
        <w:t>Becoming Word Conscious</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The good news is that anyone can be word conscious, from educators to parents to siblings to caregivers. Word consciousness scales up or down, depending on the age and stage of the child.</w:t>
      </w:r>
    </w:p>
    <w:p w:rsidR="009864F2" w:rsidRPr="009864F2" w:rsidRDefault="009864F2" w:rsidP="009864F2">
      <w:pPr>
        <w:numPr>
          <w:ilvl w:val="0"/>
          <w:numId w:val="1"/>
        </w:numPr>
        <w:shd w:val="clear" w:color="auto" w:fill="FFFFFF"/>
        <w:spacing w:after="0" w:line="240" w:lineRule="auto"/>
        <w:ind w:left="300"/>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For a newborn, word consciousness might mean flipping on and off the light switch and repeating “Lights on, lights off.”</w:t>
      </w:r>
    </w:p>
    <w:p w:rsidR="009864F2" w:rsidRPr="009864F2" w:rsidRDefault="009864F2" w:rsidP="009864F2">
      <w:pPr>
        <w:numPr>
          <w:ilvl w:val="0"/>
          <w:numId w:val="1"/>
        </w:numPr>
        <w:shd w:val="clear" w:color="auto" w:fill="FFFFFF"/>
        <w:spacing w:after="0" w:line="240" w:lineRule="auto"/>
        <w:ind w:left="300"/>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For a two-month old, word consciousness might mean describing “the soft, brown bunny.”</w:t>
      </w:r>
    </w:p>
    <w:p w:rsidR="009864F2" w:rsidRPr="009864F2" w:rsidRDefault="009864F2" w:rsidP="009864F2">
      <w:pPr>
        <w:numPr>
          <w:ilvl w:val="0"/>
          <w:numId w:val="1"/>
        </w:numPr>
        <w:shd w:val="clear" w:color="auto" w:fill="FFFFFF"/>
        <w:spacing w:after="0" w:line="240" w:lineRule="auto"/>
        <w:ind w:left="300"/>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Older babies and toddlers may already be ready for sophisticated descriptions, sounds, and action words like “scorching hot,” “sizzle,” and “nibble.”</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What’s important is to model usage of language, even if the child doesn’t talk back.</w:t>
      </w:r>
    </w:p>
    <w:p w:rsidR="009864F2" w:rsidRPr="009864F2" w:rsidRDefault="009864F2" w:rsidP="009864F2">
      <w:pPr>
        <w:shd w:val="clear" w:color="auto" w:fill="FFFFFF"/>
        <w:spacing w:before="48" w:after="120" w:line="240" w:lineRule="auto"/>
        <w:outlineLvl w:val="3"/>
        <w:rPr>
          <w:rFonts w:ascii="Alegreya Sans" w:eastAsia="Times New Roman" w:hAnsi="Alegreya Sans" w:cs="Times New Roman"/>
          <w:color w:val="1E484E"/>
          <w:sz w:val="35"/>
          <w:szCs w:val="35"/>
        </w:rPr>
      </w:pPr>
      <w:r w:rsidRPr="009864F2">
        <w:rPr>
          <w:rFonts w:ascii="Alegreya Sans" w:eastAsia="Times New Roman" w:hAnsi="Alegreya Sans" w:cs="Times New Roman"/>
          <w:color w:val="1E484E"/>
          <w:sz w:val="35"/>
          <w:szCs w:val="35"/>
        </w:rPr>
        <w:t>1. Stay away from short commands.</w:t>
      </w:r>
    </w:p>
    <w:tbl>
      <w:tblPr>
        <w:tblW w:w="7500" w:type="dxa"/>
        <w:shd w:val="clear" w:color="auto" w:fill="FFFFFF"/>
        <w:tblCellMar>
          <w:top w:w="15" w:type="dxa"/>
          <w:left w:w="15" w:type="dxa"/>
          <w:bottom w:w="15" w:type="dxa"/>
          <w:right w:w="15" w:type="dxa"/>
        </w:tblCellMar>
        <w:tblLook w:val="04A0" w:firstRow="1" w:lastRow="0" w:firstColumn="1" w:lastColumn="0" w:noHBand="0" w:noVBand="1"/>
      </w:tblPr>
      <w:tblGrid>
        <w:gridCol w:w="1500"/>
        <w:gridCol w:w="6000"/>
      </w:tblGrid>
      <w:tr w:rsidR="009864F2" w:rsidRPr="009864F2" w:rsidTr="009864F2">
        <w:tc>
          <w:tcPr>
            <w:tcW w:w="1500" w:type="dxa"/>
            <w:tcBorders>
              <w:top w:val="outset" w:sz="6" w:space="0" w:color="auto"/>
              <w:left w:val="outset" w:sz="6" w:space="0" w:color="auto"/>
              <w:bottom w:val="outset" w:sz="6" w:space="0" w:color="auto"/>
              <w:right w:val="outset" w:sz="6" w:space="0" w:color="auto"/>
            </w:tcBorders>
            <w:shd w:val="clear" w:color="auto" w:fill="FFFFFF"/>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color w:val="222222"/>
                <w:sz w:val="21"/>
                <w:szCs w:val="21"/>
              </w:rPr>
              <w:t>Instead of:</w:t>
            </w:r>
          </w:p>
        </w:tc>
        <w:tc>
          <w:tcPr>
            <w:tcW w:w="6000" w:type="dxa"/>
            <w:tcBorders>
              <w:top w:val="outset" w:sz="6" w:space="0" w:color="auto"/>
              <w:left w:val="outset" w:sz="6" w:space="0" w:color="auto"/>
              <w:bottom w:val="outset" w:sz="6" w:space="0" w:color="auto"/>
              <w:right w:val="outset" w:sz="6" w:space="0" w:color="auto"/>
            </w:tcBorders>
            <w:shd w:val="clear" w:color="auto" w:fill="FFFFFF"/>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i/>
                <w:iCs/>
                <w:color w:val="222222"/>
                <w:sz w:val="21"/>
                <w:szCs w:val="21"/>
              </w:rPr>
              <w:t>"Come over here." “Get your blanket.”</w:t>
            </w:r>
          </w:p>
        </w:tc>
      </w:tr>
      <w:tr w:rsidR="009864F2" w:rsidRPr="009864F2" w:rsidTr="009864F2">
        <w:tc>
          <w:tcPr>
            <w:tcW w:w="0" w:type="auto"/>
            <w:tcBorders>
              <w:top w:val="outset" w:sz="6" w:space="0" w:color="auto"/>
              <w:left w:val="outset" w:sz="6" w:space="0" w:color="auto"/>
              <w:bottom w:val="outset" w:sz="6" w:space="0" w:color="auto"/>
              <w:right w:val="outset" w:sz="6" w:space="0" w:color="auto"/>
            </w:tcBorders>
            <w:shd w:val="clear" w:color="auto" w:fill="F9F9F9"/>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color w:val="222222"/>
                <w:sz w:val="21"/>
                <w:szCs w:val="21"/>
              </w:rPr>
              <w:t>Try: </w:t>
            </w:r>
          </w:p>
        </w:tc>
        <w:tc>
          <w:tcPr>
            <w:tcW w:w="0" w:type="auto"/>
            <w:tcBorders>
              <w:top w:val="outset" w:sz="6" w:space="0" w:color="auto"/>
              <w:left w:val="outset" w:sz="6" w:space="0" w:color="auto"/>
              <w:bottom w:val="outset" w:sz="6" w:space="0" w:color="auto"/>
              <w:right w:val="outset" w:sz="6" w:space="0" w:color="auto"/>
            </w:tcBorders>
            <w:shd w:val="clear" w:color="auto" w:fill="F9F9F9"/>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i/>
                <w:iCs/>
                <w:color w:val="222222"/>
                <w:sz w:val="21"/>
                <w:szCs w:val="21"/>
              </w:rPr>
              <w:t>“Come over to the sidewalk.” “Get your fluffy blanket.”</w:t>
            </w:r>
          </w:p>
        </w:tc>
      </w:tr>
    </w:tbl>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Research tells us that commands don't help children learn language. On the contrary—commands inhibit language. In a 2013 Stanford University study, researchers found that commands halt language acquisition because they are usually short, simple sentences. They put a cap on creative words. Every child needs to hear useful commands, but they’re better with rich descriptions. </w:t>
      </w:r>
    </w:p>
    <w:p w:rsidR="009864F2" w:rsidRPr="009864F2" w:rsidRDefault="009864F2" w:rsidP="009864F2">
      <w:pPr>
        <w:shd w:val="clear" w:color="auto" w:fill="FFFFFF"/>
        <w:spacing w:before="48" w:after="120" w:line="240" w:lineRule="auto"/>
        <w:outlineLvl w:val="3"/>
        <w:rPr>
          <w:rFonts w:ascii="Alegreya Sans" w:eastAsia="Times New Roman" w:hAnsi="Alegreya Sans" w:cs="Times New Roman"/>
          <w:color w:val="1E484E"/>
          <w:sz w:val="35"/>
          <w:szCs w:val="35"/>
        </w:rPr>
      </w:pPr>
      <w:r w:rsidRPr="009864F2">
        <w:rPr>
          <w:rFonts w:ascii="Alegreya Sans" w:eastAsia="Times New Roman" w:hAnsi="Alegreya Sans" w:cs="Times New Roman"/>
          <w:color w:val="1E484E"/>
          <w:sz w:val="35"/>
          <w:szCs w:val="35"/>
        </w:rPr>
        <w:t xml:space="preserve">2. </w:t>
      </w:r>
      <w:proofErr w:type="gramStart"/>
      <w:r w:rsidRPr="009864F2">
        <w:rPr>
          <w:rFonts w:ascii="Alegreya Sans" w:eastAsia="Times New Roman" w:hAnsi="Alegreya Sans" w:cs="Times New Roman"/>
          <w:color w:val="1E484E"/>
          <w:sz w:val="35"/>
          <w:szCs w:val="35"/>
        </w:rPr>
        <w:t>Be</w:t>
      </w:r>
      <w:proofErr w:type="gramEnd"/>
      <w:r w:rsidRPr="009864F2">
        <w:rPr>
          <w:rFonts w:ascii="Alegreya Sans" w:eastAsia="Times New Roman" w:hAnsi="Alegreya Sans" w:cs="Times New Roman"/>
          <w:color w:val="1E484E"/>
          <w:sz w:val="35"/>
          <w:szCs w:val="35"/>
        </w:rPr>
        <w:t xml:space="preserve"> specific, not generic.</w:t>
      </w:r>
    </w:p>
    <w:tbl>
      <w:tblPr>
        <w:tblW w:w="7500" w:type="dxa"/>
        <w:shd w:val="clear" w:color="auto" w:fill="FFFFFF"/>
        <w:tblCellMar>
          <w:top w:w="15" w:type="dxa"/>
          <w:left w:w="15" w:type="dxa"/>
          <w:bottom w:w="15" w:type="dxa"/>
          <w:right w:w="15" w:type="dxa"/>
        </w:tblCellMar>
        <w:tblLook w:val="04A0" w:firstRow="1" w:lastRow="0" w:firstColumn="1" w:lastColumn="0" w:noHBand="0" w:noVBand="1"/>
      </w:tblPr>
      <w:tblGrid>
        <w:gridCol w:w="1500"/>
        <w:gridCol w:w="6000"/>
      </w:tblGrid>
      <w:tr w:rsidR="009864F2" w:rsidRPr="009864F2" w:rsidTr="009864F2">
        <w:tc>
          <w:tcPr>
            <w:tcW w:w="1500" w:type="dxa"/>
            <w:tcBorders>
              <w:top w:val="outset" w:sz="6" w:space="0" w:color="auto"/>
              <w:left w:val="outset" w:sz="6" w:space="0" w:color="auto"/>
              <w:bottom w:val="outset" w:sz="6" w:space="0" w:color="auto"/>
              <w:right w:val="outset" w:sz="6" w:space="0" w:color="auto"/>
            </w:tcBorders>
            <w:shd w:val="clear" w:color="auto" w:fill="FFFFFF"/>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color w:val="222222"/>
                <w:sz w:val="21"/>
                <w:szCs w:val="21"/>
              </w:rPr>
              <w:t>Instead of:</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i/>
                <w:iCs/>
                <w:color w:val="222222"/>
                <w:sz w:val="21"/>
                <w:szCs w:val="21"/>
              </w:rPr>
              <w:t>“Bring your toys.” “Do you see the animals?”</w:t>
            </w:r>
          </w:p>
        </w:tc>
      </w:tr>
      <w:tr w:rsidR="009864F2" w:rsidRPr="009864F2" w:rsidTr="009864F2">
        <w:tc>
          <w:tcPr>
            <w:tcW w:w="0" w:type="auto"/>
            <w:tcBorders>
              <w:top w:val="outset" w:sz="6" w:space="0" w:color="auto"/>
              <w:left w:val="outset" w:sz="6" w:space="0" w:color="auto"/>
              <w:bottom w:val="outset" w:sz="6" w:space="0" w:color="auto"/>
              <w:right w:val="outset" w:sz="6" w:space="0" w:color="auto"/>
            </w:tcBorders>
            <w:shd w:val="clear" w:color="auto" w:fill="F9F9F9"/>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color w:val="222222"/>
                <w:sz w:val="21"/>
                <w:szCs w:val="21"/>
              </w:rPr>
              <w:t>Try: </w:t>
            </w:r>
          </w:p>
        </w:tc>
        <w:tc>
          <w:tcPr>
            <w:tcW w:w="0" w:type="auto"/>
            <w:tcBorders>
              <w:top w:val="outset" w:sz="6" w:space="0" w:color="auto"/>
              <w:left w:val="outset" w:sz="6" w:space="0" w:color="auto"/>
              <w:bottom w:val="outset" w:sz="6" w:space="0" w:color="auto"/>
              <w:right w:val="outset" w:sz="6" w:space="0" w:color="auto"/>
            </w:tcBorders>
            <w:shd w:val="clear" w:color="auto" w:fill="F9F9F9"/>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i/>
                <w:iCs/>
                <w:color w:val="222222"/>
                <w:sz w:val="21"/>
                <w:szCs w:val="21"/>
              </w:rPr>
              <w:t>“Bring your cars and boxes.” “Do you see the giraffes?”</w:t>
            </w:r>
          </w:p>
        </w:tc>
      </w:tr>
    </w:tbl>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Children hear words like “toys” and “animals” every day. They’re useful, familiar terms that can mean so many different things. And that’s exactly why it’s more intentional to be specific.</w:t>
      </w:r>
    </w:p>
    <w:p w:rsidR="009864F2" w:rsidRPr="009864F2" w:rsidRDefault="009864F2" w:rsidP="009864F2">
      <w:pPr>
        <w:shd w:val="clear" w:color="auto" w:fill="FFFFFF"/>
        <w:spacing w:before="48" w:after="120" w:line="240" w:lineRule="auto"/>
        <w:outlineLvl w:val="3"/>
        <w:rPr>
          <w:rFonts w:ascii="Alegreya Sans" w:eastAsia="Times New Roman" w:hAnsi="Alegreya Sans" w:cs="Times New Roman"/>
          <w:color w:val="1E484E"/>
          <w:sz w:val="35"/>
          <w:szCs w:val="35"/>
        </w:rPr>
      </w:pPr>
      <w:r w:rsidRPr="009864F2">
        <w:rPr>
          <w:rFonts w:ascii="Alegreya Sans" w:eastAsia="Times New Roman" w:hAnsi="Alegreya Sans" w:cs="Times New Roman"/>
          <w:color w:val="1E484E"/>
          <w:sz w:val="35"/>
          <w:szCs w:val="35"/>
        </w:rPr>
        <w:t>3. Provide context.</w:t>
      </w:r>
    </w:p>
    <w:tbl>
      <w:tblPr>
        <w:tblW w:w="7500" w:type="dxa"/>
        <w:shd w:val="clear" w:color="auto" w:fill="FFFFFF"/>
        <w:tblCellMar>
          <w:top w:w="15" w:type="dxa"/>
          <w:left w:w="15" w:type="dxa"/>
          <w:bottom w:w="15" w:type="dxa"/>
          <w:right w:w="15" w:type="dxa"/>
        </w:tblCellMar>
        <w:tblLook w:val="04A0" w:firstRow="1" w:lastRow="0" w:firstColumn="1" w:lastColumn="0" w:noHBand="0" w:noVBand="1"/>
      </w:tblPr>
      <w:tblGrid>
        <w:gridCol w:w="1500"/>
        <w:gridCol w:w="6000"/>
      </w:tblGrid>
      <w:tr w:rsidR="009864F2" w:rsidRPr="009864F2" w:rsidTr="009864F2">
        <w:tc>
          <w:tcPr>
            <w:tcW w:w="1500" w:type="dxa"/>
            <w:tcBorders>
              <w:top w:val="outset" w:sz="6" w:space="0" w:color="auto"/>
              <w:left w:val="outset" w:sz="6" w:space="0" w:color="auto"/>
              <w:bottom w:val="outset" w:sz="6" w:space="0" w:color="auto"/>
              <w:right w:val="outset" w:sz="6" w:space="0" w:color="auto"/>
            </w:tcBorders>
            <w:shd w:val="clear" w:color="auto" w:fill="FFFFFF"/>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color w:val="222222"/>
                <w:sz w:val="21"/>
                <w:szCs w:val="21"/>
              </w:rPr>
              <w:t>Instead of:</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i/>
                <w:iCs/>
                <w:color w:val="222222"/>
                <w:sz w:val="21"/>
                <w:szCs w:val="21"/>
              </w:rPr>
              <w:t>“We need to go to the post office.”</w:t>
            </w:r>
          </w:p>
        </w:tc>
      </w:tr>
      <w:tr w:rsidR="009864F2" w:rsidRPr="009864F2" w:rsidTr="009864F2">
        <w:tc>
          <w:tcPr>
            <w:tcW w:w="0" w:type="auto"/>
            <w:tcBorders>
              <w:top w:val="outset" w:sz="6" w:space="0" w:color="auto"/>
              <w:left w:val="outset" w:sz="6" w:space="0" w:color="auto"/>
              <w:bottom w:val="outset" w:sz="6" w:space="0" w:color="auto"/>
              <w:right w:val="outset" w:sz="6" w:space="0" w:color="auto"/>
            </w:tcBorders>
            <w:shd w:val="clear" w:color="auto" w:fill="F9F9F9"/>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color w:val="222222"/>
                <w:sz w:val="21"/>
                <w:szCs w:val="21"/>
              </w:rPr>
              <w:t>Try: </w:t>
            </w:r>
          </w:p>
        </w:tc>
        <w:tc>
          <w:tcPr>
            <w:tcW w:w="0" w:type="auto"/>
            <w:tcBorders>
              <w:top w:val="outset" w:sz="6" w:space="0" w:color="auto"/>
              <w:left w:val="outset" w:sz="6" w:space="0" w:color="auto"/>
              <w:bottom w:val="outset" w:sz="6" w:space="0" w:color="auto"/>
              <w:right w:val="outset" w:sz="6" w:space="0" w:color="auto"/>
            </w:tcBorders>
            <w:shd w:val="clear" w:color="auto" w:fill="F9F9F9"/>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i/>
                <w:iCs/>
                <w:color w:val="222222"/>
                <w:sz w:val="21"/>
                <w:szCs w:val="21"/>
              </w:rPr>
              <w:t>“Here’s the post office. We drop our envelopes in the blue mailbox...”</w:t>
            </w:r>
          </w:p>
        </w:tc>
      </w:tr>
    </w:tbl>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It’s much more useful for children to have an image in their brain than a blank space. When you’re talking about something new, it’s better to show than to tell.</w:t>
      </w:r>
    </w:p>
    <w:p w:rsid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 </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bookmarkStart w:id="0" w:name="_GoBack"/>
      <w:bookmarkEnd w:id="0"/>
    </w:p>
    <w:p w:rsidR="009864F2" w:rsidRPr="009864F2" w:rsidRDefault="009864F2" w:rsidP="009864F2">
      <w:pPr>
        <w:shd w:val="clear" w:color="auto" w:fill="FFFFFF"/>
        <w:spacing w:before="48" w:after="120" w:line="240" w:lineRule="auto"/>
        <w:outlineLvl w:val="3"/>
        <w:rPr>
          <w:rFonts w:ascii="Alegreya Sans" w:eastAsia="Times New Roman" w:hAnsi="Alegreya Sans" w:cs="Times New Roman"/>
          <w:color w:val="1E484E"/>
          <w:sz w:val="35"/>
          <w:szCs w:val="35"/>
        </w:rPr>
      </w:pPr>
      <w:r w:rsidRPr="009864F2">
        <w:rPr>
          <w:rFonts w:ascii="Alegreya Sans" w:eastAsia="Times New Roman" w:hAnsi="Alegreya Sans" w:cs="Times New Roman"/>
          <w:color w:val="1E484E"/>
          <w:sz w:val="35"/>
          <w:szCs w:val="35"/>
        </w:rPr>
        <w:lastRenderedPageBreak/>
        <w:t>4. Model your words.</w:t>
      </w:r>
    </w:p>
    <w:tbl>
      <w:tblPr>
        <w:tblW w:w="7500" w:type="dxa"/>
        <w:shd w:val="clear" w:color="auto" w:fill="FFFFFF"/>
        <w:tblCellMar>
          <w:top w:w="15" w:type="dxa"/>
          <w:left w:w="15" w:type="dxa"/>
          <w:bottom w:w="15" w:type="dxa"/>
          <w:right w:w="15" w:type="dxa"/>
        </w:tblCellMar>
        <w:tblLook w:val="04A0" w:firstRow="1" w:lastRow="0" w:firstColumn="1" w:lastColumn="0" w:noHBand="0" w:noVBand="1"/>
      </w:tblPr>
      <w:tblGrid>
        <w:gridCol w:w="1500"/>
        <w:gridCol w:w="6000"/>
      </w:tblGrid>
      <w:tr w:rsidR="009864F2" w:rsidRPr="009864F2" w:rsidTr="009864F2">
        <w:tc>
          <w:tcPr>
            <w:tcW w:w="1500" w:type="dxa"/>
            <w:tcBorders>
              <w:top w:val="outset" w:sz="6" w:space="0" w:color="auto"/>
              <w:left w:val="outset" w:sz="6" w:space="0" w:color="auto"/>
              <w:bottom w:val="outset" w:sz="6" w:space="0" w:color="auto"/>
              <w:right w:val="outset" w:sz="6" w:space="0" w:color="auto"/>
            </w:tcBorders>
            <w:shd w:val="clear" w:color="auto" w:fill="FFFFFF"/>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color w:val="222222"/>
                <w:sz w:val="21"/>
                <w:szCs w:val="21"/>
              </w:rPr>
              <w:t>Instead of:</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i/>
                <w:iCs/>
                <w:color w:val="222222"/>
                <w:sz w:val="21"/>
                <w:szCs w:val="21"/>
              </w:rPr>
              <w:t>“Be gentle.”</w:t>
            </w:r>
          </w:p>
        </w:tc>
      </w:tr>
      <w:tr w:rsidR="009864F2" w:rsidRPr="009864F2" w:rsidTr="009864F2">
        <w:tc>
          <w:tcPr>
            <w:tcW w:w="0" w:type="auto"/>
            <w:tcBorders>
              <w:top w:val="outset" w:sz="6" w:space="0" w:color="auto"/>
              <w:left w:val="outset" w:sz="6" w:space="0" w:color="auto"/>
              <w:bottom w:val="outset" w:sz="6" w:space="0" w:color="auto"/>
              <w:right w:val="outset" w:sz="6" w:space="0" w:color="auto"/>
            </w:tcBorders>
            <w:shd w:val="clear" w:color="auto" w:fill="F9F9F9"/>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color w:val="222222"/>
                <w:sz w:val="21"/>
                <w:szCs w:val="21"/>
              </w:rPr>
              <w:t>Try: </w:t>
            </w:r>
          </w:p>
        </w:tc>
        <w:tc>
          <w:tcPr>
            <w:tcW w:w="0" w:type="auto"/>
            <w:tcBorders>
              <w:top w:val="outset" w:sz="6" w:space="0" w:color="auto"/>
              <w:left w:val="outset" w:sz="6" w:space="0" w:color="auto"/>
              <w:bottom w:val="outset" w:sz="6" w:space="0" w:color="auto"/>
              <w:right w:val="outset" w:sz="6" w:space="0" w:color="auto"/>
            </w:tcBorders>
            <w:shd w:val="clear" w:color="auto" w:fill="F9F9F9"/>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i/>
                <w:iCs/>
                <w:color w:val="222222"/>
                <w:sz w:val="21"/>
                <w:szCs w:val="21"/>
              </w:rPr>
              <w:t xml:space="preserve">"Pat the bunny's head with two fingers, like this. </w:t>
            </w:r>
            <w:proofErr w:type="spellStart"/>
            <w:r w:rsidRPr="009864F2">
              <w:rPr>
                <w:rFonts w:ascii="Times New Roman" w:eastAsia="Times New Roman" w:hAnsi="Times New Roman" w:cs="Times New Roman"/>
                <w:i/>
                <w:iCs/>
                <w:color w:val="222222"/>
                <w:sz w:val="21"/>
                <w:szCs w:val="21"/>
              </w:rPr>
              <w:t>Shhh</w:t>
            </w:r>
            <w:proofErr w:type="spellEnd"/>
            <w:r w:rsidRPr="009864F2">
              <w:rPr>
                <w:rFonts w:ascii="Times New Roman" w:eastAsia="Times New Roman" w:hAnsi="Times New Roman" w:cs="Times New Roman"/>
                <w:i/>
                <w:iCs/>
                <w:color w:val="222222"/>
                <w:sz w:val="21"/>
                <w:szCs w:val="21"/>
              </w:rPr>
              <w:t>...</w:t>
            </w:r>
            <w:proofErr w:type="gramStart"/>
            <w:r w:rsidRPr="009864F2">
              <w:rPr>
                <w:rFonts w:ascii="Times New Roman" w:eastAsia="Times New Roman" w:hAnsi="Times New Roman" w:cs="Times New Roman"/>
                <w:i/>
                <w:iCs/>
                <w:color w:val="222222"/>
                <w:sz w:val="21"/>
                <w:szCs w:val="21"/>
              </w:rPr>
              <w:t>use</w:t>
            </w:r>
            <w:proofErr w:type="gramEnd"/>
            <w:r w:rsidRPr="009864F2">
              <w:rPr>
                <w:rFonts w:ascii="Times New Roman" w:eastAsia="Times New Roman" w:hAnsi="Times New Roman" w:cs="Times New Roman"/>
                <w:i/>
                <w:iCs/>
                <w:color w:val="222222"/>
                <w:sz w:val="21"/>
                <w:szCs w:val="21"/>
              </w:rPr>
              <w:t xml:space="preserve"> a quiet, whisper voice.”</w:t>
            </w:r>
          </w:p>
        </w:tc>
      </w:tr>
    </w:tbl>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What does it mean, if it’s not modeled? Particularly in the abstract area of social-emotional development, children need to see what they need to do.</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Additionally, even if children have been told to “be gentle” or “play nicely with others” throughout their lifetimes, they don’t know what that means to you, at that moment. </w:t>
      </w:r>
    </w:p>
    <w:p w:rsidR="009864F2" w:rsidRPr="009864F2" w:rsidRDefault="009864F2" w:rsidP="009864F2">
      <w:pPr>
        <w:shd w:val="clear" w:color="auto" w:fill="FFFFFF"/>
        <w:spacing w:before="48" w:after="120" w:line="240" w:lineRule="auto"/>
        <w:outlineLvl w:val="3"/>
        <w:rPr>
          <w:rFonts w:ascii="Alegreya Sans" w:eastAsia="Times New Roman" w:hAnsi="Alegreya Sans" w:cs="Times New Roman"/>
          <w:color w:val="1E484E"/>
          <w:sz w:val="35"/>
          <w:szCs w:val="35"/>
        </w:rPr>
      </w:pPr>
      <w:r w:rsidRPr="009864F2">
        <w:rPr>
          <w:rFonts w:ascii="Alegreya Sans" w:eastAsia="Times New Roman" w:hAnsi="Alegreya Sans" w:cs="Times New Roman"/>
          <w:color w:val="1E484E"/>
          <w:sz w:val="35"/>
          <w:szCs w:val="35"/>
        </w:rPr>
        <w:t>5. Infer meaning of new words.</w:t>
      </w:r>
    </w:p>
    <w:tbl>
      <w:tblPr>
        <w:tblpPr w:leftFromText="45" w:rightFromText="45" w:bottomFromText="300" w:vertAnchor="text"/>
        <w:tblW w:w="7500" w:type="dxa"/>
        <w:shd w:val="clear" w:color="auto" w:fill="FFFFFF"/>
        <w:tblCellMar>
          <w:top w:w="15" w:type="dxa"/>
          <w:left w:w="15" w:type="dxa"/>
          <w:bottom w:w="15" w:type="dxa"/>
          <w:right w:w="15" w:type="dxa"/>
        </w:tblCellMar>
        <w:tblLook w:val="04A0" w:firstRow="1" w:lastRow="0" w:firstColumn="1" w:lastColumn="0" w:noHBand="0" w:noVBand="1"/>
      </w:tblPr>
      <w:tblGrid>
        <w:gridCol w:w="1500"/>
        <w:gridCol w:w="6000"/>
      </w:tblGrid>
      <w:tr w:rsidR="009864F2" w:rsidRPr="009864F2" w:rsidTr="009864F2">
        <w:tc>
          <w:tcPr>
            <w:tcW w:w="1500" w:type="dxa"/>
            <w:tcBorders>
              <w:top w:val="outset" w:sz="6" w:space="0" w:color="auto"/>
              <w:left w:val="outset" w:sz="6" w:space="0" w:color="auto"/>
              <w:bottom w:val="outset" w:sz="6" w:space="0" w:color="auto"/>
              <w:right w:val="outset" w:sz="6" w:space="0" w:color="auto"/>
            </w:tcBorders>
            <w:shd w:val="clear" w:color="auto" w:fill="FFFFFF"/>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color w:val="222222"/>
                <w:sz w:val="21"/>
                <w:szCs w:val="21"/>
              </w:rPr>
              <w:t>Instead of:</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i/>
                <w:iCs/>
                <w:color w:val="222222"/>
                <w:sz w:val="21"/>
                <w:szCs w:val="21"/>
              </w:rPr>
              <w:t>“Here’s your ball.”</w:t>
            </w:r>
          </w:p>
        </w:tc>
      </w:tr>
      <w:tr w:rsidR="009864F2" w:rsidRPr="009864F2" w:rsidTr="009864F2">
        <w:tc>
          <w:tcPr>
            <w:tcW w:w="0" w:type="auto"/>
            <w:tcBorders>
              <w:top w:val="outset" w:sz="6" w:space="0" w:color="auto"/>
              <w:left w:val="outset" w:sz="6" w:space="0" w:color="auto"/>
              <w:bottom w:val="outset" w:sz="6" w:space="0" w:color="auto"/>
              <w:right w:val="outset" w:sz="6" w:space="0" w:color="auto"/>
            </w:tcBorders>
            <w:shd w:val="clear" w:color="auto" w:fill="F9F9F9"/>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color w:val="222222"/>
                <w:sz w:val="21"/>
                <w:szCs w:val="21"/>
              </w:rPr>
              <w:t>Try: </w:t>
            </w:r>
          </w:p>
        </w:tc>
        <w:tc>
          <w:tcPr>
            <w:tcW w:w="0" w:type="auto"/>
            <w:tcBorders>
              <w:top w:val="outset" w:sz="6" w:space="0" w:color="auto"/>
              <w:left w:val="outset" w:sz="6" w:space="0" w:color="auto"/>
              <w:bottom w:val="outset" w:sz="6" w:space="0" w:color="auto"/>
              <w:right w:val="outset" w:sz="6" w:space="0" w:color="auto"/>
            </w:tcBorders>
            <w:shd w:val="clear" w:color="auto" w:fill="F9F9F9"/>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i/>
                <w:iCs/>
                <w:color w:val="222222"/>
                <w:sz w:val="21"/>
                <w:szCs w:val="21"/>
              </w:rPr>
              <w:t>“Here’s your bumpy ball. It feels so bumpy. Can you feel the bumps?”</w:t>
            </w:r>
          </w:p>
        </w:tc>
      </w:tr>
    </w:tbl>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 </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 </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Go a step further with language whenever you can. If your children know the word </w:t>
      </w:r>
      <w:r w:rsidRPr="009864F2">
        <w:rPr>
          <w:rFonts w:ascii="inherit" w:eastAsia="Times New Roman" w:hAnsi="inherit" w:cs="Times New Roman"/>
          <w:i/>
          <w:iCs/>
          <w:color w:val="333333"/>
          <w:sz w:val="24"/>
          <w:szCs w:val="24"/>
        </w:rPr>
        <w:t>ball</w:t>
      </w:r>
      <w:r w:rsidRPr="009864F2">
        <w:rPr>
          <w:rFonts w:ascii="inherit" w:eastAsia="Times New Roman" w:hAnsi="inherit" w:cs="Times New Roman"/>
          <w:color w:val="333333"/>
          <w:sz w:val="24"/>
          <w:szCs w:val="24"/>
        </w:rPr>
        <w:t>, they may be able to figure out what the word </w:t>
      </w:r>
      <w:r w:rsidRPr="009864F2">
        <w:rPr>
          <w:rFonts w:ascii="inherit" w:eastAsia="Times New Roman" w:hAnsi="inherit" w:cs="Times New Roman"/>
          <w:i/>
          <w:iCs/>
          <w:color w:val="333333"/>
          <w:sz w:val="24"/>
          <w:szCs w:val="24"/>
        </w:rPr>
        <w:t>bumpy</w:t>
      </w:r>
      <w:r w:rsidRPr="009864F2">
        <w:rPr>
          <w:rFonts w:ascii="inherit" w:eastAsia="Times New Roman" w:hAnsi="inherit" w:cs="Times New Roman"/>
          <w:color w:val="333333"/>
          <w:sz w:val="24"/>
          <w:szCs w:val="24"/>
        </w:rPr>
        <w:t> means just by inferring.</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Children get better and better at using inference as they age (and as adults, we do it all the time).</w:t>
      </w:r>
    </w:p>
    <w:p w:rsidR="009864F2" w:rsidRPr="009864F2" w:rsidRDefault="009864F2" w:rsidP="009864F2">
      <w:pPr>
        <w:shd w:val="clear" w:color="auto" w:fill="FFFFFF"/>
        <w:spacing w:before="48" w:after="120" w:line="240" w:lineRule="auto"/>
        <w:outlineLvl w:val="3"/>
        <w:rPr>
          <w:rFonts w:ascii="Alegreya Sans" w:eastAsia="Times New Roman" w:hAnsi="Alegreya Sans" w:cs="Times New Roman"/>
          <w:color w:val="1E484E"/>
          <w:sz w:val="35"/>
          <w:szCs w:val="35"/>
        </w:rPr>
      </w:pPr>
      <w:r w:rsidRPr="009864F2">
        <w:rPr>
          <w:rFonts w:ascii="Alegreya Sans" w:eastAsia="Times New Roman" w:hAnsi="Alegreya Sans" w:cs="Times New Roman"/>
          <w:color w:val="1E484E"/>
          <w:sz w:val="35"/>
          <w:szCs w:val="35"/>
        </w:rPr>
        <w:t>6. Use rhythmic, repetitive language.</w:t>
      </w:r>
    </w:p>
    <w:tbl>
      <w:tblPr>
        <w:tblW w:w="7500" w:type="dxa"/>
        <w:shd w:val="clear" w:color="auto" w:fill="FFFFFF"/>
        <w:tblCellMar>
          <w:top w:w="15" w:type="dxa"/>
          <w:left w:w="15" w:type="dxa"/>
          <w:bottom w:w="15" w:type="dxa"/>
          <w:right w:w="15" w:type="dxa"/>
        </w:tblCellMar>
        <w:tblLook w:val="04A0" w:firstRow="1" w:lastRow="0" w:firstColumn="1" w:lastColumn="0" w:noHBand="0" w:noVBand="1"/>
      </w:tblPr>
      <w:tblGrid>
        <w:gridCol w:w="1500"/>
        <w:gridCol w:w="6000"/>
      </w:tblGrid>
      <w:tr w:rsidR="009864F2" w:rsidRPr="009864F2" w:rsidTr="009864F2">
        <w:tc>
          <w:tcPr>
            <w:tcW w:w="1500" w:type="dxa"/>
            <w:tcBorders>
              <w:top w:val="outset" w:sz="6" w:space="0" w:color="auto"/>
              <w:left w:val="outset" w:sz="6" w:space="0" w:color="auto"/>
              <w:bottom w:val="outset" w:sz="6" w:space="0" w:color="auto"/>
              <w:right w:val="outset" w:sz="6" w:space="0" w:color="auto"/>
            </w:tcBorders>
            <w:shd w:val="clear" w:color="auto" w:fill="FFFFFF"/>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color w:val="222222"/>
                <w:sz w:val="21"/>
                <w:szCs w:val="21"/>
              </w:rPr>
              <w:t>Instead of:</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i/>
                <w:iCs/>
                <w:color w:val="222222"/>
                <w:sz w:val="21"/>
                <w:szCs w:val="21"/>
              </w:rPr>
              <w:t>“Eat your green beans.”</w:t>
            </w:r>
          </w:p>
        </w:tc>
      </w:tr>
      <w:tr w:rsidR="009864F2" w:rsidRPr="009864F2" w:rsidTr="009864F2">
        <w:tc>
          <w:tcPr>
            <w:tcW w:w="0" w:type="auto"/>
            <w:tcBorders>
              <w:top w:val="outset" w:sz="6" w:space="0" w:color="auto"/>
              <w:left w:val="outset" w:sz="6" w:space="0" w:color="auto"/>
              <w:bottom w:val="outset" w:sz="6" w:space="0" w:color="auto"/>
              <w:right w:val="outset" w:sz="6" w:space="0" w:color="auto"/>
            </w:tcBorders>
            <w:shd w:val="clear" w:color="auto" w:fill="F9F9F9"/>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color w:val="222222"/>
                <w:sz w:val="21"/>
                <w:szCs w:val="21"/>
              </w:rPr>
              <w:t>Try: </w:t>
            </w:r>
          </w:p>
        </w:tc>
        <w:tc>
          <w:tcPr>
            <w:tcW w:w="0" w:type="auto"/>
            <w:tcBorders>
              <w:top w:val="outset" w:sz="6" w:space="0" w:color="auto"/>
              <w:left w:val="outset" w:sz="6" w:space="0" w:color="auto"/>
              <w:bottom w:val="outset" w:sz="6" w:space="0" w:color="auto"/>
              <w:right w:val="outset" w:sz="6" w:space="0" w:color="auto"/>
            </w:tcBorders>
            <w:shd w:val="clear" w:color="auto" w:fill="F9F9F9"/>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i/>
                <w:iCs/>
                <w:color w:val="222222"/>
                <w:sz w:val="21"/>
                <w:szCs w:val="21"/>
              </w:rPr>
              <w:t xml:space="preserve">“Eat your green beans. Chomp, chomp, </w:t>
            </w:r>
            <w:proofErr w:type="gramStart"/>
            <w:r w:rsidRPr="009864F2">
              <w:rPr>
                <w:rFonts w:ascii="Times New Roman" w:eastAsia="Times New Roman" w:hAnsi="Times New Roman" w:cs="Times New Roman"/>
                <w:i/>
                <w:iCs/>
                <w:color w:val="222222"/>
                <w:sz w:val="21"/>
                <w:szCs w:val="21"/>
              </w:rPr>
              <w:t>chomp</w:t>
            </w:r>
            <w:proofErr w:type="gramEnd"/>
            <w:r w:rsidRPr="009864F2">
              <w:rPr>
                <w:rFonts w:ascii="Times New Roman" w:eastAsia="Times New Roman" w:hAnsi="Times New Roman" w:cs="Times New Roman"/>
                <w:i/>
                <w:iCs/>
                <w:color w:val="222222"/>
                <w:sz w:val="21"/>
                <w:szCs w:val="21"/>
              </w:rPr>
              <w:t>. Yum, yum, yum.”</w:t>
            </w:r>
          </w:p>
        </w:tc>
      </w:tr>
    </w:tbl>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Songs, poems, and phrases that “stick in your head” encourage the brain to put language on repeat.</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It can be annoying to have a song that you can’t get out of your head, but it does help you remember language.</w:t>
      </w:r>
    </w:p>
    <w:p w:rsid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 </w:t>
      </w:r>
    </w:p>
    <w:p w:rsidR="009864F2" w:rsidRDefault="009864F2" w:rsidP="009864F2">
      <w:pPr>
        <w:shd w:val="clear" w:color="auto" w:fill="FFFFFF"/>
        <w:spacing w:after="300" w:line="240" w:lineRule="auto"/>
        <w:rPr>
          <w:rFonts w:ascii="inherit" w:eastAsia="Times New Roman" w:hAnsi="inherit" w:cs="Times New Roman"/>
          <w:color w:val="333333"/>
          <w:sz w:val="24"/>
          <w:szCs w:val="24"/>
        </w:rPr>
      </w:pPr>
    </w:p>
    <w:p w:rsidR="009864F2" w:rsidRDefault="009864F2" w:rsidP="009864F2">
      <w:pPr>
        <w:shd w:val="clear" w:color="auto" w:fill="FFFFFF"/>
        <w:spacing w:after="300" w:line="240" w:lineRule="auto"/>
        <w:rPr>
          <w:rFonts w:ascii="inherit" w:eastAsia="Times New Roman" w:hAnsi="inherit" w:cs="Times New Roman"/>
          <w:color w:val="333333"/>
          <w:sz w:val="24"/>
          <w:szCs w:val="24"/>
        </w:rPr>
      </w:pP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p>
    <w:p w:rsidR="009864F2" w:rsidRPr="009864F2" w:rsidRDefault="009864F2" w:rsidP="009864F2">
      <w:pPr>
        <w:shd w:val="clear" w:color="auto" w:fill="FFFFFF"/>
        <w:spacing w:before="48" w:after="120" w:line="240" w:lineRule="auto"/>
        <w:outlineLvl w:val="3"/>
        <w:rPr>
          <w:rFonts w:ascii="Alegreya Sans" w:eastAsia="Times New Roman" w:hAnsi="Alegreya Sans" w:cs="Times New Roman"/>
          <w:color w:val="1E484E"/>
          <w:sz w:val="35"/>
          <w:szCs w:val="35"/>
        </w:rPr>
      </w:pPr>
      <w:r w:rsidRPr="009864F2">
        <w:rPr>
          <w:rFonts w:ascii="Alegreya Sans" w:eastAsia="Times New Roman" w:hAnsi="Alegreya Sans" w:cs="Times New Roman"/>
          <w:color w:val="1E484E"/>
          <w:sz w:val="35"/>
          <w:szCs w:val="35"/>
        </w:rPr>
        <w:lastRenderedPageBreak/>
        <w:t>7. Read books with text-picture match.</w:t>
      </w:r>
    </w:p>
    <w:tbl>
      <w:tblPr>
        <w:tblW w:w="7500" w:type="dxa"/>
        <w:shd w:val="clear" w:color="auto" w:fill="FFFFFF"/>
        <w:tblCellMar>
          <w:top w:w="15" w:type="dxa"/>
          <w:left w:w="15" w:type="dxa"/>
          <w:bottom w:w="15" w:type="dxa"/>
          <w:right w:w="15" w:type="dxa"/>
        </w:tblCellMar>
        <w:tblLook w:val="04A0" w:firstRow="1" w:lastRow="0" w:firstColumn="1" w:lastColumn="0" w:noHBand="0" w:noVBand="1"/>
      </w:tblPr>
      <w:tblGrid>
        <w:gridCol w:w="1500"/>
        <w:gridCol w:w="6000"/>
      </w:tblGrid>
      <w:tr w:rsidR="009864F2" w:rsidRPr="009864F2" w:rsidTr="009864F2">
        <w:tc>
          <w:tcPr>
            <w:tcW w:w="1500" w:type="dxa"/>
            <w:tcBorders>
              <w:top w:val="outset" w:sz="6" w:space="0" w:color="auto"/>
              <w:left w:val="outset" w:sz="6" w:space="0" w:color="auto"/>
              <w:bottom w:val="outset" w:sz="6" w:space="0" w:color="auto"/>
              <w:right w:val="outset" w:sz="6" w:space="0" w:color="auto"/>
            </w:tcBorders>
            <w:shd w:val="clear" w:color="auto" w:fill="FFFFFF"/>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color w:val="222222"/>
                <w:sz w:val="21"/>
                <w:szCs w:val="21"/>
              </w:rPr>
              <w:t>Instead of:</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i/>
                <w:iCs/>
                <w:color w:val="222222"/>
                <w:sz w:val="21"/>
                <w:szCs w:val="21"/>
              </w:rPr>
              <w:t>“He always said that she could dig as much in a day as a hundred men could dig in a week…”</w:t>
            </w:r>
          </w:p>
        </w:tc>
      </w:tr>
      <w:tr w:rsidR="009864F2" w:rsidRPr="009864F2" w:rsidTr="009864F2">
        <w:tc>
          <w:tcPr>
            <w:tcW w:w="0" w:type="auto"/>
            <w:tcBorders>
              <w:top w:val="outset" w:sz="6" w:space="0" w:color="auto"/>
              <w:left w:val="outset" w:sz="6" w:space="0" w:color="auto"/>
              <w:bottom w:val="outset" w:sz="6" w:space="0" w:color="auto"/>
              <w:right w:val="outset" w:sz="6" w:space="0" w:color="auto"/>
            </w:tcBorders>
            <w:shd w:val="clear" w:color="auto" w:fill="F9F9F9"/>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color w:val="222222"/>
                <w:sz w:val="21"/>
                <w:szCs w:val="21"/>
              </w:rPr>
              <w:t>Try: </w:t>
            </w:r>
          </w:p>
        </w:tc>
        <w:tc>
          <w:tcPr>
            <w:tcW w:w="0" w:type="auto"/>
            <w:tcBorders>
              <w:top w:val="outset" w:sz="6" w:space="0" w:color="auto"/>
              <w:left w:val="outset" w:sz="6" w:space="0" w:color="auto"/>
              <w:bottom w:val="outset" w:sz="6" w:space="0" w:color="auto"/>
              <w:right w:val="outset" w:sz="6" w:space="0" w:color="auto"/>
            </w:tcBorders>
            <w:shd w:val="clear" w:color="auto" w:fill="F9F9F9"/>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i/>
                <w:iCs/>
                <w:color w:val="222222"/>
                <w:sz w:val="21"/>
                <w:szCs w:val="21"/>
              </w:rPr>
              <w:t>“Where’s Spot? Is he inside the clock? No.”</w:t>
            </w:r>
          </w:p>
        </w:tc>
      </w:tr>
    </w:tbl>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Of course, babies need short, punchy board books and lift-the-flap rhetoric. But as children age, they may pick out lengthy books at the library or choose a book based on its cover, not its word count.</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Reading a magazine to a baby is better than reading nothing at all, but a book with text-picture match seals in language.</w:t>
      </w:r>
    </w:p>
    <w:p w:rsidR="009864F2" w:rsidRPr="009864F2" w:rsidRDefault="009864F2" w:rsidP="009864F2">
      <w:pPr>
        <w:shd w:val="clear" w:color="auto" w:fill="FFFFFF"/>
        <w:spacing w:before="48" w:after="120" w:line="240" w:lineRule="auto"/>
        <w:outlineLvl w:val="3"/>
        <w:rPr>
          <w:rFonts w:ascii="Alegreya Sans" w:eastAsia="Times New Roman" w:hAnsi="Alegreya Sans" w:cs="Times New Roman"/>
          <w:color w:val="1E484E"/>
          <w:sz w:val="35"/>
          <w:szCs w:val="35"/>
        </w:rPr>
      </w:pPr>
      <w:r w:rsidRPr="009864F2">
        <w:rPr>
          <w:rFonts w:ascii="Alegreya Sans" w:eastAsia="Times New Roman" w:hAnsi="Alegreya Sans" w:cs="Times New Roman"/>
          <w:color w:val="1E484E"/>
          <w:sz w:val="35"/>
          <w:szCs w:val="35"/>
        </w:rPr>
        <w:t>8. Stay out of a rut.</w:t>
      </w:r>
    </w:p>
    <w:tbl>
      <w:tblPr>
        <w:tblW w:w="7500" w:type="dxa"/>
        <w:shd w:val="clear" w:color="auto" w:fill="FFFFFF"/>
        <w:tblCellMar>
          <w:top w:w="15" w:type="dxa"/>
          <w:left w:w="15" w:type="dxa"/>
          <w:bottom w:w="15" w:type="dxa"/>
          <w:right w:w="15" w:type="dxa"/>
        </w:tblCellMar>
        <w:tblLook w:val="04A0" w:firstRow="1" w:lastRow="0" w:firstColumn="1" w:lastColumn="0" w:noHBand="0" w:noVBand="1"/>
      </w:tblPr>
      <w:tblGrid>
        <w:gridCol w:w="1479"/>
        <w:gridCol w:w="6021"/>
      </w:tblGrid>
      <w:tr w:rsidR="009864F2" w:rsidRPr="009864F2" w:rsidTr="009864F2">
        <w:tc>
          <w:tcPr>
            <w:tcW w:w="0" w:type="auto"/>
            <w:tcBorders>
              <w:top w:val="outset" w:sz="6" w:space="0" w:color="auto"/>
              <w:left w:val="outset" w:sz="6" w:space="0" w:color="auto"/>
              <w:bottom w:val="outset" w:sz="6" w:space="0" w:color="auto"/>
              <w:right w:val="outset" w:sz="6" w:space="0" w:color="auto"/>
            </w:tcBorders>
            <w:shd w:val="clear" w:color="auto" w:fill="FFFFFF"/>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color w:val="222222"/>
                <w:sz w:val="21"/>
                <w:szCs w:val="21"/>
              </w:rPr>
              <w:t>Instead of:</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i/>
                <w:iCs/>
                <w:color w:val="222222"/>
                <w:sz w:val="21"/>
                <w:szCs w:val="21"/>
              </w:rPr>
              <w:t>“Time to go to the park.”</w:t>
            </w:r>
          </w:p>
        </w:tc>
      </w:tr>
      <w:tr w:rsidR="009864F2" w:rsidRPr="009864F2" w:rsidTr="009864F2">
        <w:tc>
          <w:tcPr>
            <w:tcW w:w="0" w:type="auto"/>
            <w:tcBorders>
              <w:top w:val="outset" w:sz="6" w:space="0" w:color="auto"/>
              <w:left w:val="outset" w:sz="6" w:space="0" w:color="auto"/>
              <w:bottom w:val="outset" w:sz="6" w:space="0" w:color="auto"/>
              <w:right w:val="outset" w:sz="6" w:space="0" w:color="auto"/>
            </w:tcBorders>
            <w:shd w:val="clear" w:color="auto" w:fill="F9F9F9"/>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color w:val="222222"/>
                <w:sz w:val="21"/>
                <w:szCs w:val="21"/>
              </w:rPr>
              <w:t>Try: </w:t>
            </w:r>
          </w:p>
        </w:tc>
        <w:tc>
          <w:tcPr>
            <w:tcW w:w="0" w:type="auto"/>
            <w:tcBorders>
              <w:top w:val="outset" w:sz="6" w:space="0" w:color="auto"/>
              <w:left w:val="outset" w:sz="6" w:space="0" w:color="auto"/>
              <w:bottom w:val="outset" w:sz="6" w:space="0" w:color="auto"/>
              <w:right w:val="outset" w:sz="6" w:space="0" w:color="auto"/>
            </w:tcBorders>
            <w:shd w:val="clear" w:color="auto" w:fill="F9F9F9"/>
            <w:tcMar>
              <w:top w:w="135" w:type="dxa"/>
              <w:left w:w="150" w:type="dxa"/>
              <w:bottom w:w="135" w:type="dxa"/>
              <w:right w:w="150" w:type="dxa"/>
            </w:tcMar>
            <w:vAlign w:val="center"/>
            <w:hideMark/>
          </w:tcPr>
          <w:p w:rsidR="009864F2" w:rsidRPr="009864F2" w:rsidRDefault="009864F2" w:rsidP="009864F2">
            <w:pPr>
              <w:spacing w:after="0" w:line="270" w:lineRule="atLeast"/>
              <w:rPr>
                <w:rFonts w:ascii="Times New Roman" w:eastAsia="Times New Roman" w:hAnsi="Times New Roman" w:cs="Times New Roman"/>
                <w:color w:val="222222"/>
                <w:sz w:val="21"/>
                <w:szCs w:val="21"/>
              </w:rPr>
            </w:pPr>
            <w:r w:rsidRPr="009864F2">
              <w:rPr>
                <w:rFonts w:ascii="Times New Roman" w:eastAsia="Times New Roman" w:hAnsi="Times New Roman" w:cs="Times New Roman"/>
                <w:i/>
                <w:iCs/>
                <w:color w:val="222222"/>
                <w:sz w:val="21"/>
                <w:szCs w:val="21"/>
              </w:rPr>
              <w:t>“Here’s a tennis ball. Can you hit it with the racket?”</w:t>
            </w:r>
          </w:p>
        </w:tc>
      </w:tr>
    </w:tbl>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As humans, we value routines. It’s also super-comforting for children to have predictable routines every day.</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However, new experiences help children learn fresh, new words in context. Visit new places, sample new foods, listen to different music, and add new activities to your daily routine.</w:t>
      </w:r>
    </w:p>
    <w:p w:rsidR="009864F2" w:rsidRPr="009864F2" w:rsidRDefault="009864F2" w:rsidP="009864F2">
      <w:pPr>
        <w:shd w:val="clear" w:color="auto" w:fill="FFFFFF"/>
        <w:spacing w:before="48" w:after="120" w:line="240" w:lineRule="auto"/>
        <w:outlineLvl w:val="3"/>
        <w:rPr>
          <w:rFonts w:ascii="Alegreya Sans" w:eastAsia="Times New Roman" w:hAnsi="Alegreya Sans" w:cs="Times New Roman"/>
          <w:color w:val="1E484E"/>
          <w:sz w:val="35"/>
          <w:szCs w:val="35"/>
        </w:rPr>
      </w:pPr>
      <w:r w:rsidRPr="009864F2">
        <w:rPr>
          <w:rFonts w:ascii="Alegreya Sans" w:eastAsia="Times New Roman" w:hAnsi="Alegreya Sans" w:cs="Times New Roman"/>
          <w:color w:val="1E484E"/>
          <w:sz w:val="35"/>
          <w:szCs w:val="35"/>
        </w:rPr>
        <w:t>9. Abandon the notion that they’re “too young” or “not ready.”</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According to the Stanford University researchers, a majority of babies are born with similar brain connections and capacities to learn language. It’s primarily through experiences—or lack thereof—that the trajectories begin to splinter into “advantaged” versus “disadvantaged” groups.</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Babies are never too young to hear robust language, and anytime is the right time to start.</w:t>
      </w:r>
    </w:p>
    <w:p w:rsidR="009864F2" w:rsidRPr="009864F2" w:rsidRDefault="009864F2" w:rsidP="009864F2">
      <w:pPr>
        <w:shd w:val="clear" w:color="auto" w:fill="FFFFFF"/>
        <w:spacing w:before="48" w:after="120" w:line="240" w:lineRule="auto"/>
        <w:outlineLvl w:val="3"/>
        <w:rPr>
          <w:rFonts w:ascii="Alegreya Sans" w:eastAsia="Times New Roman" w:hAnsi="Alegreya Sans" w:cs="Times New Roman"/>
          <w:color w:val="1E484E"/>
          <w:sz w:val="35"/>
          <w:szCs w:val="35"/>
        </w:rPr>
      </w:pPr>
      <w:r w:rsidRPr="009864F2">
        <w:rPr>
          <w:rFonts w:ascii="Alegreya Sans" w:eastAsia="Times New Roman" w:hAnsi="Alegreya Sans" w:cs="Times New Roman"/>
          <w:color w:val="1E484E"/>
          <w:sz w:val="35"/>
          <w:szCs w:val="35"/>
        </w:rPr>
        <w:t>10. Talk, even if they don’t talk back.</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 xml:space="preserve">Babies, toddlers, and preschoolers are absorbing everything around them. The ages between </w:t>
      </w:r>
      <w:proofErr w:type="gramStart"/>
      <w:r w:rsidRPr="009864F2">
        <w:rPr>
          <w:rFonts w:ascii="inherit" w:eastAsia="Times New Roman" w:hAnsi="inherit" w:cs="Times New Roman"/>
          <w:color w:val="333333"/>
          <w:sz w:val="24"/>
          <w:szCs w:val="24"/>
        </w:rPr>
        <w:t>birth</w:t>
      </w:r>
      <w:proofErr w:type="gramEnd"/>
      <w:r w:rsidRPr="009864F2">
        <w:rPr>
          <w:rFonts w:ascii="inherit" w:eastAsia="Times New Roman" w:hAnsi="inherit" w:cs="Times New Roman"/>
          <w:color w:val="333333"/>
          <w:sz w:val="24"/>
          <w:szCs w:val="24"/>
        </w:rPr>
        <w:t xml:space="preserve"> to five are the most critical for acquiring language.</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 xml:space="preserve">It can feel strange—particularly with newborns and tiny babies—to emphasize concepts and new words, but engagement is </w:t>
      </w:r>
      <w:proofErr w:type="gramStart"/>
      <w:r w:rsidRPr="009864F2">
        <w:rPr>
          <w:rFonts w:ascii="inherit" w:eastAsia="Times New Roman" w:hAnsi="inherit" w:cs="Times New Roman"/>
          <w:color w:val="333333"/>
          <w:sz w:val="24"/>
          <w:szCs w:val="24"/>
        </w:rPr>
        <w:t>key</w:t>
      </w:r>
      <w:proofErr w:type="gramEnd"/>
      <w:r w:rsidRPr="009864F2">
        <w:rPr>
          <w:rFonts w:ascii="inherit" w:eastAsia="Times New Roman" w:hAnsi="inherit" w:cs="Times New Roman"/>
          <w:color w:val="333333"/>
          <w:sz w:val="24"/>
          <w:szCs w:val="24"/>
        </w:rPr>
        <w:t xml:space="preserve"> to later learning. So keep talking, even if all you hear is an awkward silence.</w:t>
      </w:r>
    </w:p>
    <w:p w:rsidR="009864F2" w:rsidRPr="009864F2" w:rsidRDefault="009864F2" w:rsidP="009864F2">
      <w:pPr>
        <w:shd w:val="clear" w:color="auto" w:fill="FFFFFF"/>
        <w:spacing w:after="300" w:line="240" w:lineRule="auto"/>
        <w:rPr>
          <w:rFonts w:ascii="inherit" w:eastAsia="Times New Roman" w:hAnsi="inherit" w:cs="Times New Roman"/>
          <w:color w:val="333333"/>
          <w:sz w:val="24"/>
          <w:szCs w:val="24"/>
        </w:rPr>
      </w:pPr>
      <w:r w:rsidRPr="009864F2">
        <w:rPr>
          <w:rFonts w:ascii="inherit" w:eastAsia="Times New Roman" w:hAnsi="inherit" w:cs="Times New Roman"/>
          <w:color w:val="333333"/>
          <w:sz w:val="24"/>
          <w:szCs w:val="24"/>
        </w:rPr>
        <w:t> </w:t>
      </w:r>
    </w:p>
    <w:p w:rsidR="00EC3334" w:rsidRDefault="00EC3334"/>
    <w:sectPr w:rsidR="00EC33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legreya Sans">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600B1"/>
    <w:multiLevelType w:val="multilevel"/>
    <w:tmpl w:val="66D8D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64F2"/>
    <w:rsid w:val="009864F2"/>
    <w:rsid w:val="00EC33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64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64F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64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64F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0899106">
      <w:bodyDiv w:val="1"/>
      <w:marLeft w:val="0"/>
      <w:marRight w:val="0"/>
      <w:marTop w:val="0"/>
      <w:marBottom w:val="0"/>
      <w:divBdr>
        <w:top w:val="none" w:sz="0" w:space="0" w:color="auto"/>
        <w:left w:val="none" w:sz="0" w:space="0" w:color="auto"/>
        <w:bottom w:val="none" w:sz="0" w:space="0" w:color="auto"/>
        <w:right w:val="none" w:sz="0" w:space="0" w:color="auto"/>
      </w:divBdr>
      <w:divsChild>
        <w:div w:id="1320231201">
          <w:marLeft w:val="0"/>
          <w:marRight w:val="0"/>
          <w:marTop w:val="0"/>
          <w:marBottom w:val="300"/>
          <w:divBdr>
            <w:top w:val="none" w:sz="0" w:space="0" w:color="auto"/>
            <w:left w:val="none" w:sz="0" w:space="0" w:color="auto"/>
            <w:bottom w:val="none" w:sz="0" w:space="0" w:color="auto"/>
            <w:right w:val="none" w:sz="0" w:space="0" w:color="auto"/>
          </w:divBdr>
          <w:divsChild>
            <w:div w:id="917640642">
              <w:marLeft w:val="0"/>
              <w:marRight w:val="0"/>
              <w:marTop w:val="0"/>
              <w:marBottom w:val="0"/>
              <w:divBdr>
                <w:top w:val="none" w:sz="0" w:space="0" w:color="auto"/>
                <w:left w:val="none" w:sz="0" w:space="0" w:color="auto"/>
                <w:bottom w:val="none" w:sz="0" w:space="0" w:color="auto"/>
                <w:right w:val="none" w:sz="0" w:space="0" w:color="auto"/>
              </w:divBdr>
              <w:divsChild>
                <w:div w:id="1778871106">
                  <w:marLeft w:val="0"/>
                  <w:marRight w:val="0"/>
                  <w:marTop w:val="0"/>
                  <w:marBottom w:val="0"/>
                  <w:divBdr>
                    <w:top w:val="none" w:sz="0" w:space="0" w:color="auto"/>
                    <w:left w:val="none" w:sz="0" w:space="0" w:color="auto"/>
                    <w:bottom w:val="none" w:sz="0" w:space="0" w:color="auto"/>
                    <w:right w:val="none" w:sz="0" w:space="0" w:color="auto"/>
                  </w:divBdr>
                </w:div>
                <w:div w:id="1555387517">
                  <w:marLeft w:val="0"/>
                  <w:marRight w:val="0"/>
                  <w:marTop w:val="0"/>
                  <w:marBottom w:val="0"/>
                  <w:divBdr>
                    <w:top w:val="none" w:sz="0" w:space="0" w:color="auto"/>
                    <w:left w:val="none" w:sz="0" w:space="0" w:color="auto"/>
                    <w:bottom w:val="none" w:sz="0" w:space="0" w:color="auto"/>
                    <w:right w:val="none" w:sz="0" w:space="0" w:color="auto"/>
                  </w:divBdr>
                </w:div>
                <w:div w:id="1562015905">
                  <w:marLeft w:val="0"/>
                  <w:marRight w:val="0"/>
                  <w:marTop w:val="0"/>
                  <w:marBottom w:val="0"/>
                  <w:divBdr>
                    <w:top w:val="none" w:sz="0" w:space="0" w:color="auto"/>
                    <w:left w:val="none" w:sz="0" w:space="0" w:color="auto"/>
                    <w:bottom w:val="none" w:sz="0" w:space="0" w:color="auto"/>
                    <w:right w:val="none" w:sz="0" w:space="0" w:color="auto"/>
                  </w:divBdr>
                </w:div>
                <w:div w:id="178403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768464">
          <w:marLeft w:val="0"/>
          <w:marRight w:val="0"/>
          <w:marTop w:val="0"/>
          <w:marBottom w:val="0"/>
          <w:divBdr>
            <w:top w:val="none" w:sz="0" w:space="0" w:color="auto"/>
            <w:left w:val="none" w:sz="0" w:space="0" w:color="auto"/>
            <w:bottom w:val="none" w:sz="0" w:space="0" w:color="auto"/>
            <w:right w:val="none" w:sz="0" w:space="0" w:color="auto"/>
          </w:divBdr>
          <w:divsChild>
            <w:div w:id="562254095">
              <w:marLeft w:val="0"/>
              <w:marRight w:val="0"/>
              <w:marTop w:val="0"/>
              <w:marBottom w:val="0"/>
              <w:divBdr>
                <w:top w:val="none" w:sz="0" w:space="0" w:color="auto"/>
                <w:left w:val="none" w:sz="0" w:space="0" w:color="auto"/>
                <w:bottom w:val="none" w:sz="0" w:space="0" w:color="auto"/>
                <w:right w:val="none" w:sz="0" w:space="0" w:color="auto"/>
              </w:divBdr>
              <w:divsChild>
                <w:div w:id="1908149107">
                  <w:marLeft w:val="0"/>
                  <w:marRight w:val="0"/>
                  <w:marTop w:val="0"/>
                  <w:marBottom w:val="120"/>
                  <w:divBdr>
                    <w:top w:val="none" w:sz="0" w:space="0" w:color="auto"/>
                    <w:left w:val="none" w:sz="0" w:space="0" w:color="auto"/>
                    <w:bottom w:val="none" w:sz="0" w:space="0" w:color="auto"/>
                    <w:right w:val="none" w:sz="0" w:space="0" w:color="auto"/>
                  </w:divBdr>
                </w:div>
                <w:div w:id="894007837">
                  <w:marLeft w:val="0"/>
                  <w:marRight w:val="0"/>
                  <w:marTop w:val="0"/>
                  <w:marBottom w:val="0"/>
                  <w:divBdr>
                    <w:top w:val="none" w:sz="0" w:space="0" w:color="auto"/>
                    <w:left w:val="none" w:sz="0" w:space="0" w:color="auto"/>
                    <w:bottom w:val="none" w:sz="0" w:space="0" w:color="auto"/>
                    <w:right w:val="none" w:sz="0" w:space="0" w:color="auto"/>
                  </w:divBdr>
                </w:div>
                <w:div w:id="157982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980</Words>
  <Characters>5592</Characters>
  <Application>Microsoft Office Word</Application>
  <DocSecurity>0</DocSecurity>
  <Lines>46</Lines>
  <Paragraphs>13</Paragraphs>
  <ScaleCrop>false</ScaleCrop>
  <Company>Microsoft</Company>
  <LinksUpToDate>false</LinksUpToDate>
  <CharactersWithSpaces>6559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Jacquelyn Blanton</dc:creator>
  <cp:lastModifiedBy>Jacquelyn Blanton</cp:lastModifiedBy>
  <cp:revision>1</cp:revision>
  <dcterms:created xsi:type="dcterms:W3CDTF">2016-10-11T14:01:00Z</dcterms:created>
  <dcterms:modified xsi:type="dcterms:W3CDTF">2016-10-11T14:04:00Z</dcterms:modified>
</cp:coreProperties>
</file>